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15FDC" w14:textId="293A9B6F" w:rsidR="002A7278" w:rsidRPr="002A7278" w:rsidRDefault="002A7278" w:rsidP="002A727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Hlk191647040"/>
      <w:r w:rsidRPr="002A7278">
        <w:rPr>
          <w:rFonts w:ascii="Times New Roman" w:eastAsia="Times New Roman" w:hAnsi="Times New Roman"/>
          <w:lang w:eastAsia="pl-PL"/>
        </w:rPr>
        <w:t>Załącznik</w:t>
      </w:r>
      <w:r w:rsidR="005C0A64">
        <w:rPr>
          <w:rFonts w:ascii="Times New Roman" w:eastAsia="Times New Roman" w:hAnsi="Times New Roman"/>
          <w:lang w:eastAsia="pl-PL"/>
        </w:rPr>
        <w:t xml:space="preserve"> </w:t>
      </w:r>
      <w:r w:rsidRPr="002A7278">
        <w:rPr>
          <w:rFonts w:ascii="Times New Roman" w:eastAsia="Times New Roman" w:hAnsi="Times New Roman"/>
          <w:lang w:eastAsia="pl-PL"/>
        </w:rPr>
        <w:t>B.</w:t>
      </w:r>
      <w:r w:rsidR="00083EC9">
        <w:rPr>
          <w:rFonts w:ascii="Times New Roman" w:eastAsia="Times New Roman" w:hAnsi="Times New Roman"/>
          <w:lang w:eastAsia="pl-PL"/>
        </w:rPr>
        <w:t>178</w:t>
      </w:r>
      <w:r w:rsidRPr="002A7278">
        <w:rPr>
          <w:rFonts w:ascii="Times New Roman" w:eastAsia="Times New Roman" w:hAnsi="Times New Roman"/>
          <w:lang w:eastAsia="pl-PL"/>
        </w:rPr>
        <w:t>.</w:t>
      </w:r>
    </w:p>
    <w:p w14:paraId="3E7759DC" w14:textId="77777777" w:rsidR="002A7278" w:rsidRPr="002A7278" w:rsidRDefault="002A7278" w:rsidP="002A727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bookmarkEnd w:id="0"/>
    <w:p w14:paraId="7A3962E3" w14:textId="05163736" w:rsidR="009A72B7" w:rsidRPr="004944D9" w:rsidRDefault="00245097" w:rsidP="004944D9">
      <w:pPr>
        <w:spacing w:after="240" w:line="240" w:lineRule="auto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</w:pPr>
      <w:r w:rsidRPr="00245097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LECZENIE </w:t>
      </w:r>
      <w:r w:rsidR="0034025E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PRZEWLEKŁEGO PIERWOTNEGO ZESPOŁU BÓLOWEGO PĘCHERZA</w:t>
      </w:r>
      <w:r w:rsidR="00741317" w:rsidRPr="00741317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</w:t>
      </w:r>
      <w:r w:rsidR="005F34DF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MOCZOWEGO</w:t>
      </w:r>
      <w:r w:rsidR="00137375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</w:t>
      </w:r>
      <w:r w:rsidR="00801B60" w:rsidRPr="00801B6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(ICD-10</w:t>
      </w:r>
      <w:r w:rsidR="00C57DE3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:</w:t>
      </w:r>
      <w:r w:rsidR="00801B60" w:rsidRPr="00801B6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N30.1)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9A72B7" w:rsidRPr="004F5F51" w14:paraId="65F911EF" w14:textId="77777777" w:rsidTr="00931691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06938F9C" w14:textId="0876B08A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4F5F51" w14:paraId="54BC93DB" w14:textId="77777777" w:rsidTr="00931691">
        <w:trPr>
          <w:trHeight w:val="567"/>
        </w:trPr>
        <w:tc>
          <w:tcPr>
            <w:tcW w:w="5665" w:type="dxa"/>
            <w:vAlign w:val="center"/>
          </w:tcPr>
          <w:p w14:paraId="1F31FBDB" w14:textId="77777777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5B97C7F7" w14:textId="09210F94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68DF2C8A" w14:textId="545F6027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4F5F51" w14:paraId="2BA1B80D" w14:textId="77777777" w:rsidTr="00931691">
        <w:trPr>
          <w:trHeight w:val="20"/>
        </w:trPr>
        <w:tc>
          <w:tcPr>
            <w:tcW w:w="5665" w:type="dxa"/>
          </w:tcPr>
          <w:p w14:paraId="5E24C8B6" w14:textId="50C311AD" w:rsidR="00C61576" w:rsidRPr="00F63BE2" w:rsidRDefault="00C61576" w:rsidP="00C61576">
            <w:pPr>
              <w:pStyle w:val="Akapitzlist"/>
              <w:spacing w:before="12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Kwalifikacji do programu oraz weryfikacji skuteczności leczenia dokonuje </w:t>
            </w:r>
            <w:r w:rsidR="00272FC6" w:rsidRPr="00F63BE2">
              <w:rPr>
                <w:rFonts w:ascii="Times New Roman" w:hAnsi="Times New Roman" w:cs="Times New Roman"/>
                <w:sz w:val="20"/>
                <w:szCs w:val="20"/>
              </w:rPr>
              <w:t>lekarz urolog po zasięgnięciu opinii ginekologa (w przypadku kobiet) oraz w razie potrzeby specjalisty ds. leczenia bólu.</w:t>
            </w:r>
          </w:p>
          <w:p w14:paraId="4434C4CF" w14:textId="77777777" w:rsidR="00C61576" w:rsidRPr="00F63BE2" w:rsidRDefault="00C61576" w:rsidP="00355579">
            <w:pPr>
              <w:pStyle w:val="Akapitzlist"/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W programie finansuje się leczenie:</w:t>
            </w:r>
          </w:p>
          <w:p w14:paraId="376F191C" w14:textId="4CFEA816" w:rsidR="00C61576" w:rsidRPr="00F63BE2" w:rsidRDefault="00272FC6" w:rsidP="00355579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3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pentozanem</w:t>
            </w:r>
            <w:proofErr w:type="spellEnd"/>
            <w:r w:rsidRPr="00F63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63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wielosiarczanem</w:t>
            </w:r>
            <w:proofErr w:type="spellEnd"/>
            <w:r w:rsidRPr="00F63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sodowym</w:t>
            </w:r>
          </w:p>
          <w:p w14:paraId="7E048607" w14:textId="25725411" w:rsidR="00E97EA4" w:rsidRDefault="00B93E10" w:rsidP="00355579">
            <w:pPr>
              <w:pStyle w:val="Akapitzlist"/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61576" w:rsidRPr="00F63BE2">
              <w:rPr>
                <w:rFonts w:ascii="Times New Roman" w:hAnsi="Times New Roman" w:cs="Times New Roman"/>
                <w:sz w:val="20"/>
                <w:szCs w:val="20"/>
              </w:rPr>
              <w:t>godnie ze wskazanymi w opisie programu warunkami i kryteriami.</w:t>
            </w:r>
          </w:p>
          <w:p w14:paraId="74C04753" w14:textId="77777777" w:rsidR="00355579" w:rsidRPr="00F63BE2" w:rsidRDefault="00355579" w:rsidP="00355579">
            <w:pPr>
              <w:pStyle w:val="Akapitzlist"/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DEFEC" w14:textId="756E1B98" w:rsidR="00DF48AD" w:rsidRPr="00F63BE2" w:rsidRDefault="00DF48AD" w:rsidP="00355579">
            <w:pPr>
              <w:pStyle w:val="Akapitzlist"/>
              <w:numPr>
                <w:ilvl w:val="0"/>
                <w:numId w:val="29"/>
              </w:numPr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5359A37B" w14:textId="23C19D3C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wiek </w:t>
            </w:r>
            <w:r w:rsidR="00B93E10" w:rsidRPr="00F63BE2">
              <w:rPr>
                <w:rFonts w:ascii="Times New Roman" w:hAnsi="Times New Roman" w:cs="Times New Roman"/>
                <w:sz w:val="20"/>
                <w:szCs w:val="20"/>
              </w:rPr>
              <w:t>≥ 18 lat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E17E7A" w14:textId="6CD94294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rozpoznanie zespołu bolesnego pęcherza/śródmiąższowego zapalenia pęcherza kategorii 2B lub wyższej wg ESSIC, przy czym ostatnia cystoskopia</w:t>
            </w:r>
            <w:r w:rsidR="00A25630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i ba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danie anatomopatologiczn</w:t>
            </w:r>
            <w:r w:rsidR="00751857" w:rsidRPr="00F63BE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(jeśli wykonywano) nie mogą być starsz</w:t>
            </w:r>
            <w:r w:rsidR="00751857" w:rsidRPr="00F63BE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niż 12 m</w:t>
            </w:r>
            <w:r w:rsidR="004770B0" w:rsidRPr="00F63BE2">
              <w:rPr>
                <w:rFonts w:ascii="Times New Roman" w:hAnsi="Times New Roman" w:cs="Times New Roman"/>
                <w:sz w:val="20"/>
                <w:szCs w:val="20"/>
              </w:rPr>
              <w:t>iesięcy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. Nie ma możliwości kwalifikacj</w:t>
            </w:r>
            <w:r w:rsidR="00F71A1E" w:rsidRPr="00F63BE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do programu pacjenta z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glomerulacjami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i nie wykonana lub prawidłową biopsja pęcherza</w:t>
            </w:r>
            <w:r w:rsidR="004770B0" w:rsidRPr="00F63B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BDCB29" w14:textId="65DC07B6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całkowity wynik ≥ 11 według wskaźnika objawów śródmiąższowego zapalenia pęcherza moczowego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O’Leary-Sant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(kwestionariusz ICSI);</w:t>
            </w:r>
          </w:p>
          <w:p w14:paraId="6D27D09D" w14:textId="4520AE8E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uzyskanie wyniku &gt; 0 według kwestionariusza śródmiąższowego zapalenia pęcherza moczowego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O’Leary-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Sant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(kwestionariusz ICSI) w przypadku każdego z komponentów (ból pęcherza moczowego, parcie na mocz, częstość oddawania moczu,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nokturia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) oraz wyniku ≥ 3 przynajmniej dla jednego z komponentów kwestionariusza śródmiąższowego zapalenia pęcherza moczowego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O’Leary-Sant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 (kwestionariusz ICSI);</w:t>
            </w:r>
          </w:p>
          <w:p w14:paraId="2B7B0661" w14:textId="3A1AC120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214976232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co najmniej 15 mikcji / dobę (≥ 45 mikcji w ciągu 3 kolejnych dni);</w:t>
            </w:r>
          </w:p>
          <w:bookmarkEnd w:id="1"/>
          <w:p w14:paraId="29B08E15" w14:textId="6D3F2401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utrzymujący się przez co najmniej 12 miesięcy ból, ucisk lub dyskomfort miednicy, odczuwany jak mający związek z pęcherzem moczowym;</w:t>
            </w:r>
          </w:p>
          <w:p w14:paraId="7547831C" w14:textId="3DB082FD" w:rsidR="00DF48AD" w:rsidRPr="00F63BE2" w:rsidRDefault="00355579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F48AD" w:rsidRPr="00F63BE2">
              <w:rPr>
                <w:rFonts w:ascii="Times New Roman" w:hAnsi="Times New Roman" w:cs="Times New Roman"/>
                <w:sz w:val="20"/>
                <w:szCs w:val="20"/>
              </w:rPr>
              <w:t>otwierdzony brak skuteczności leczenia fizjoterapią, modyfikacjami diety i lekami przeciwbólowymi nienarkotycznymi, przy czym leczenie trwało min 6 miesięcy</w:t>
            </w:r>
            <w:r w:rsidR="00531046" w:rsidRPr="00F63B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7DADF3" w14:textId="7AE5164B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wykluczenie innych jednostek chorobowych, jako przyczyn dolegliwości (ból pęcherza moczowego, parcie na mocz, częstość oddawania moczu,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nokturia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78728F5" w14:textId="292E848A" w:rsidR="00DF48AD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negatywny wywiad w kierunku: pęcherza popromiennego, pęcherza neurogennego, nowotworów ukł</w:t>
            </w:r>
            <w:r w:rsidR="004770B0" w:rsidRPr="00F63BE2">
              <w:rPr>
                <w:rFonts w:ascii="Times New Roman" w:hAnsi="Times New Roman" w:cs="Times New Roman"/>
                <w:sz w:val="20"/>
                <w:szCs w:val="20"/>
              </w:rPr>
              <w:t>adu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moczowo-płciowego</w:t>
            </w:r>
            <w:r w:rsidR="004770B0" w:rsidRPr="00F63B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77DA9C" w14:textId="4410D56E" w:rsidR="00662498" w:rsidRPr="00F63BE2" w:rsidRDefault="00DF48AD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ujemny wynik posiewu moczu</w:t>
            </w:r>
            <w:r w:rsidR="003555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18484D" w14:textId="04969251" w:rsidR="008B593A" w:rsidRPr="00F63BE2" w:rsidRDefault="008B593A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F9A977F" w14:textId="77777777" w:rsidR="008B593A" w:rsidRPr="00F63BE2" w:rsidRDefault="008B593A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brak przeciwskazań do stosowania leku zgodnie z aktualną Charakterystyką Produktu Leczniczego (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3FAAAB1" w14:textId="54D8B154" w:rsidR="008B593A" w:rsidRPr="00F63BE2" w:rsidRDefault="008B593A" w:rsidP="00355579">
            <w:pPr>
              <w:pStyle w:val="Akapitzlist"/>
              <w:numPr>
                <w:ilvl w:val="0"/>
                <w:numId w:val="4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lub stanów klinicznych</w:t>
            </w:r>
            <w:r w:rsidR="00D82907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stanowiących przeciwskazanie do terapii stwierdzonych przez lekarza prowadzącego w oparciu o aktualną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3555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86E6A4" w14:textId="42D38ADE" w:rsidR="00E97EA4" w:rsidRPr="00F63BE2" w:rsidRDefault="00E97EA4" w:rsidP="00355579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BE2">
              <w:rPr>
                <w:rFonts w:ascii="Times New Roman" w:hAnsi="Times New Roman"/>
                <w:sz w:val="20"/>
                <w:szCs w:val="20"/>
              </w:rPr>
              <w:lastRenderedPageBreak/>
              <w:t>Wszystkie powyższe kryteria kwalifikacji musza być spełnione łącznie.</w:t>
            </w:r>
          </w:p>
          <w:p w14:paraId="565E9E7C" w14:textId="0DB60B74" w:rsidR="00E97EA4" w:rsidRDefault="00E97EA4" w:rsidP="00355579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BE2">
              <w:rPr>
                <w:rFonts w:ascii="Times New Roman" w:hAnsi="Times New Roman"/>
                <w:sz w:val="20"/>
                <w:szCs w:val="20"/>
              </w:rPr>
              <w:t>Ponadto do programu lekowego kwalifikowani są również pacjenci wymagający kontynuacji leczenia, którzy byli leczeni dotychczas w ramach innego sposobu finansowania terapii, za wyjątkiem trwających badań klinicznych pod warunkiem, że w chwili rozpoczęcia leczenia spełniali kryteria kwalifikacji do programu lekowego.</w:t>
            </w:r>
          </w:p>
          <w:p w14:paraId="7C7359A2" w14:textId="77777777" w:rsidR="00355579" w:rsidRPr="00F63BE2" w:rsidRDefault="00355579" w:rsidP="00355579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1CED20B" w14:textId="373D0C65" w:rsidR="00047759" w:rsidRPr="00355579" w:rsidRDefault="00047759" w:rsidP="00355579">
            <w:pPr>
              <w:pStyle w:val="Akapitzlist"/>
              <w:numPr>
                <w:ilvl w:val="0"/>
                <w:numId w:val="29"/>
              </w:numPr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55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215F8009" w14:textId="7A7093C3" w:rsidR="00931691" w:rsidRDefault="00355579" w:rsidP="00355579">
            <w:pPr>
              <w:pStyle w:val="Standard"/>
              <w:spacing w:after="60"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L</w:t>
            </w:r>
            <w:r w:rsidR="00931691" w:rsidRPr="00F63BE2">
              <w:rPr>
                <w:color w:val="000000"/>
                <w:sz w:val="20"/>
                <w:szCs w:val="20"/>
                <w:lang w:eastAsia="en-US"/>
              </w:rPr>
              <w:t>eczenie trwa do czasu podjęcia przez lekarza prowadzącego decyzji o wyłączeniu świadczeniobiorcy z programu– zgodnie z kryteriami wyłączenia.</w:t>
            </w:r>
          </w:p>
          <w:p w14:paraId="30A6501F" w14:textId="77777777" w:rsidR="00355579" w:rsidRPr="00F63BE2" w:rsidRDefault="00355579" w:rsidP="00355579">
            <w:pPr>
              <w:pStyle w:val="Standard"/>
              <w:spacing w:after="60" w:line="276" w:lineRule="auto"/>
              <w:ind w:left="360"/>
              <w:rPr>
                <w:color w:val="000000"/>
                <w:sz w:val="20"/>
                <w:szCs w:val="20"/>
                <w:lang w:eastAsia="en-US"/>
              </w:rPr>
            </w:pPr>
          </w:p>
          <w:p w14:paraId="67BF9390" w14:textId="74B60758" w:rsidR="00931691" w:rsidRPr="00355579" w:rsidRDefault="00931691" w:rsidP="00355579">
            <w:pPr>
              <w:pStyle w:val="Akapitzlist"/>
              <w:numPr>
                <w:ilvl w:val="0"/>
                <w:numId w:val="29"/>
              </w:numPr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55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uniemożliwiające włączenie do programu</w:t>
            </w:r>
          </w:p>
          <w:p w14:paraId="3B8CE14A" w14:textId="487C4ED5" w:rsidR="00931691" w:rsidRPr="00F63BE2" w:rsidRDefault="00931691" w:rsidP="00355579">
            <w:pPr>
              <w:pStyle w:val="Akapitzlist"/>
              <w:numPr>
                <w:ilvl w:val="0"/>
                <w:numId w:val="6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brak wyniku anatomopatologicznego biopsji pęcherza lub wynik prawidłowy dla postaci z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glomerulacjami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ABB5E4" w14:textId="2A5529EF" w:rsidR="00931691" w:rsidRPr="00355579" w:rsidRDefault="00931691" w:rsidP="00355579">
            <w:pPr>
              <w:pStyle w:val="Akapitzlist"/>
              <w:numPr>
                <w:ilvl w:val="0"/>
                <w:numId w:val="6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brak próby leczenia zachowawczego przez min</w:t>
            </w:r>
            <w:r w:rsidR="00EC2146" w:rsidRPr="00F63B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6 miesięcy;</w:t>
            </w:r>
          </w:p>
          <w:p w14:paraId="522B8979" w14:textId="1794ED98" w:rsidR="00931691" w:rsidRDefault="00931691" w:rsidP="00355579">
            <w:pPr>
              <w:pStyle w:val="Akapitzlist"/>
              <w:numPr>
                <w:ilvl w:val="0"/>
                <w:numId w:val="6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udokumentowany czas trwania choroby krótszy niż 12 miesięcy.</w:t>
            </w:r>
          </w:p>
          <w:p w14:paraId="33F6551C" w14:textId="77777777" w:rsidR="00355579" w:rsidRPr="00355579" w:rsidRDefault="00355579" w:rsidP="00355579">
            <w:pPr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3EE4DD28" w14:textId="7F6E293C" w:rsidR="00047759" w:rsidRPr="00355579" w:rsidRDefault="00047759" w:rsidP="00355579">
            <w:pPr>
              <w:pStyle w:val="Akapitzlist"/>
              <w:numPr>
                <w:ilvl w:val="0"/>
                <w:numId w:val="29"/>
              </w:numPr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55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wyłączenia z programu</w:t>
            </w:r>
          </w:p>
          <w:p w14:paraId="6D051C46" w14:textId="002CE265" w:rsidR="00047759" w:rsidRPr="00F63BE2" w:rsidRDefault="00047759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brak poprawy po upływie 6 miesięcy po rozpoczęciu terapii: wynik bez zmian lub większa liczba punktów według kwestionariusza śródmiąższowego zapalenia pęcherza moczowego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O’Leary-Sant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(kwestionariusz ICSI) w porównaniu z wynikiem uzyskanym przy kwalifikacji do programu;</w:t>
            </w:r>
          </w:p>
          <w:p w14:paraId="781A93FA" w14:textId="6D3F45A1" w:rsidR="00047759" w:rsidRPr="00F63BE2" w:rsidRDefault="00047759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214976937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pogorszenie zarejestrowane w ciągu 2 kolejnych wizyt</w:t>
            </w:r>
            <w:bookmarkEnd w:id="2"/>
            <w:r w:rsidR="00B42C8E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74787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zgodnie z pkt </w:t>
            </w:r>
            <w:r w:rsidR="002864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787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- monitorowanie leczenia</w:t>
            </w:r>
            <w:r w:rsidR="00B42C8E" w:rsidRPr="00F63B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545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53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ogorszenie 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definiowane jest jako liczba punktów według kwestionariusza śródmiąższowego zapalenia pęcherza moczowego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O’Leary-Sant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(kwestionariusz ICSI) większa o ≥ 1 w porównaniu z wynikiem uzyskanym w poprzedniej wizycie;</w:t>
            </w:r>
          </w:p>
          <w:p w14:paraId="2EABC30D" w14:textId="6DB256B5" w:rsidR="00047759" w:rsidRPr="00F63BE2" w:rsidRDefault="00047759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214977054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zwiększenie całkowitej liczby mikcji o więcej niż 10% w 3 dniowym dzienniczku </w:t>
            </w:r>
            <w:proofErr w:type="spellStart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mikcyjnym</w:t>
            </w:r>
            <w:proofErr w:type="spellEnd"/>
            <w:r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(w porównaniu do wartości wyjściowej) utrzymujące</w:t>
            </w:r>
            <w:r w:rsidR="00B42C8E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się podczas 2 kolejnych wizyt monitorujących</w:t>
            </w:r>
            <w:r w:rsidR="00A25630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74787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zgodnie z pkt </w:t>
            </w:r>
            <w:r w:rsidR="002864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787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- monitorowanie leczenia</w:t>
            </w:r>
            <w:r w:rsidR="00A25630" w:rsidRPr="00F63B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bookmarkEnd w:id="3"/>
          <w:p w14:paraId="0E668C7D" w14:textId="7A419B60" w:rsidR="00047759" w:rsidRPr="00F63BE2" w:rsidRDefault="00047759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nieprowadzenie dzienniczka mikcji;</w:t>
            </w:r>
          </w:p>
          <w:p w14:paraId="0F2844D2" w14:textId="0864F83C" w:rsidR="00047759" w:rsidRPr="00F63BE2" w:rsidRDefault="00047759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F4097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="00EF4097" w:rsidRPr="00EF40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pentozanu</w:t>
            </w:r>
            <w:proofErr w:type="spellEnd"/>
            <w:r w:rsidR="00EF4097" w:rsidRPr="00EF40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4097" w:rsidRPr="00EF40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wielosiarczanu</w:t>
            </w:r>
            <w:proofErr w:type="spellEnd"/>
            <w:r w:rsidR="00EF4097" w:rsidRPr="00EF40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sodu</w:t>
            </w:r>
            <w:r w:rsidRPr="00EF4097">
              <w:rPr>
                <w:rFonts w:ascii="Times New Roman" w:hAnsi="Times New Roman" w:cs="Times New Roman"/>
                <w:sz w:val="20"/>
                <w:szCs w:val="20"/>
              </w:rPr>
              <w:t xml:space="preserve"> lub na którąkolwiek substancję pomocniczą</w:t>
            </w: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E4E29D" w14:textId="38D86C99" w:rsidR="00047759" w:rsidRPr="00F63BE2" w:rsidRDefault="00F54536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stwierdzenie</w:t>
            </w:r>
            <w:r w:rsidR="00047759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istotnych zmian okulistycznych (rozpoznanie </w:t>
            </w:r>
            <w:proofErr w:type="spellStart"/>
            <w:r w:rsidR="00047759" w:rsidRPr="00F63BE2">
              <w:rPr>
                <w:rFonts w:ascii="Times New Roman" w:hAnsi="Times New Roman" w:cs="Times New Roman"/>
                <w:sz w:val="20"/>
                <w:szCs w:val="20"/>
              </w:rPr>
              <w:t>makulopatii</w:t>
            </w:r>
            <w:proofErr w:type="spellEnd"/>
            <w:r w:rsidR="00047759" w:rsidRPr="00F63BE2">
              <w:rPr>
                <w:rFonts w:ascii="Times New Roman" w:hAnsi="Times New Roman" w:cs="Times New Roman"/>
                <w:sz w:val="20"/>
                <w:szCs w:val="20"/>
              </w:rPr>
              <w:t xml:space="preserve"> barwnikowej);</w:t>
            </w:r>
          </w:p>
          <w:p w14:paraId="65D66EF5" w14:textId="6334854F" w:rsidR="00047759" w:rsidRPr="00F63BE2" w:rsidRDefault="00047759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ciąża lub karmienie piersią;</w:t>
            </w:r>
          </w:p>
          <w:p w14:paraId="6E6BA99B" w14:textId="77777777" w:rsidR="00047759" w:rsidRPr="00F63BE2" w:rsidRDefault="00047759" w:rsidP="00355579">
            <w:pPr>
              <w:pStyle w:val="Akapitzlist"/>
              <w:numPr>
                <w:ilvl w:val="0"/>
                <w:numId w:val="8"/>
              </w:numPr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583BD501" w14:textId="5821DCE5" w:rsidR="002A7278" w:rsidRPr="00F63BE2" w:rsidRDefault="002A7278" w:rsidP="00931691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7C6927E" w14:textId="1DC1D38A" w:rsidR="00F63BE2" w:rsidRPr="00F54536" w:rsidRDefault="00272FC6" w:rsidP="00F54536">
            <w:pPr>
              <w:pStyle w:val="Akapitzlist"/>
              <w:numPr>
                <w:ilvl w:val="0"/>
                <w:numId w:val="30"/>
              </w:numPr>
              <w:spacing w:before="120" w:after="60"/>
              <w:rPr>
                <w:rFonts w:ascii="Times New Roman" w:hAnsi="Times New Roman"/>
                <w:sz w:val="20"/>
                <w:szCs w:val="20"/>
              </w:rPr>
            </w:pPr>
            <w:r w:rsidRPr="00F5453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0C4DB5F1" w14:textId="4E0A9A19" w:rsidR="00CD3F47" w:rsidRPr="00F63BE2" w:rsidRDefault="00CD3F47" w:rsidP="00F54536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63BE2">
              <w:rPr>
                <w:rFonts w:ascii="Times New Roman" w:hAnsi="Times New Roman"/>
                <w:sz w:val="20"/>
                <w:szCs w:val="20"/>
              </w:rPr>
              <w:t>Sposób podawania oraz ewentualne czasowe wstrzymania leczenia, prowadzone zgodnie z aktualną Charakterystyką Produktu Leczniczego (</w:t>
            </w:r>
            <w:proofErr w:type="spellStart"/>
            <w:r w:rsidRPr="00F63BE2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F63BE2">
              <w:rPr>
                <w:rFonts w:ascii="Times New Roman" w:hAnsi="Times New Roman"/>
                <w:sz w:val="20"/>
                <w:szCs w:val="20"/>
              </w:rPr>
              <w:t>) lub przyjętą praktyką kliniczną.</w:t>
            </w:r>
          </w:p>
          <w:p w14:paraId="7A5F7081" w14:textId="715FC872" w:rsidR="004770B0" w:rsidRPr="00F63BE2" w:rsidRDefault="008B593A" w:rsidP="00F54536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63BE2">
              <w:rPr>
                <w:rFonts w:ascii="Times New Roman" w:hAnsi="Times New Roman"/>
                <w:sz w:val="20"/>
                <w:szCs w:val="20"/>
              </w:rPr>
              <w:t>Maksymalna</w:t>
            </w:r>
            <w:r w:rsidR="00DF48AD" w:rsidRPr="00F63BE2">
              <w:rPr>
                <w:rFonts w:ascii="Times New Roman" w:hAnsi="Times New Roman"/>
                <w:sz w:val="20"/>
                <w:szCs w:val="20"/>
              </w:rPr>
              <w:t xml:space="preserve"> dawka </w:t>
            </w:r>
            <w:proofErr w:type="spellStart"/>
            <w:r w:rsidR="00DF48AD" w:rsidRPr="00F63BE2">
              <w:rPr>
                <w:rFonts w:ascii="Times New Roman" w:hAnsi="Times New Roman"/>
                <w:sz w:val="20"/>
                <w:szCs w:val="20"/>
              </w:rPr>
              <w:t>pentozanu</w:t>
            </w:r>
            <w:proofErr w:type="spellEnd"/>
            <w:r w:rsidR="00D179FF" w:rsidRPr="00F63B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179FF" w:rsidRPr="00F63BE2">
              <w:rPr>
                <w:rFonts w:ascii="Times New Roman" w:hAnsi="Times New Roman"/>
                <w:sz w:val="20"/>
                <w:szCs w:val="20"/>
              </w:rPr>
              <w:t>wielosiarczanu</w:t>
            </w:r>
            <w:proofErr w:type="spellEnd"/>
            <w:r w:rsidR="00DF48AD" w:rsidRPr="00F63BE2">
              <w:rPr>
                <w:rFonts w:ascii="Times New Roman" w:hAnsi="Times New Roman"/>
                <w:sz w:val="20"/>
                <w:szCs w:val="20"/>
              </w:rPr>
              <w:t xml:space="preserve"> sodu wynosi 300 mg/dobę w postaci jednej kapsułki 100 mg przyjmowanej doustnie trzy razy na dobę.</w:t>
            </w:r>
          </w:p>
          <w:p w14:paraId="7AE5AEDD" w14:textId="02C67B63" w:rsidR="009A72B7" w:rsidRPr="00F63BE2" w:rsidRDefault="00DF48AD" w:rsidP="00F54536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BE2">
              <w:rPr>
                <w:rFonts w:ascii="Times New Roman" w:hAnsi="Times New Roman"/>
                <w:sz w:val="20"/>
                <w:szCs w:val="20"/>
              </w:rPr>
              <w:t>Kapsułki należy przyjmować co najmniej godzinę przed posiłkiem lub 2 godziny po posiłku, popijając wodą.</w:t>
            </w:r>
          </w:p>
        </w:tc>
        <w:tc>
          <w:tcPr>
            <w:tcW w:w="5612" w:type="dxa"/>
          </w:tcPr>
          <w:p w14:paraId="51F24D6D" w14:textId="7E3D9A21" w:rsidR="00DF48AD" w:rsidRPr="00F54536" w:rsidRDefault="00DF48AD" w:rsidP="00F54536">
            <w:pPr>
              <w:pStyle w:val="Akapitzlist"/>
              <w:numPr>
                <w:ilvl w:val="0"/>
                <w:numId w:val="31"/>
              </w:numPr>
              <w:spacing w:before="120"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4536">
              <w:rPr>
                <w:rFonts w:ascii="Times New Roman" w:hAnsi="Times New Roman"/>
                <w:b/>
                <w:bCs/>
                <w:sz w:val="20"/>
                <w:szCs w:val="20"/>
              </w:rPr>
              <w:t>Badania przy kwalifikacji</w:t>
            </w:r>
          </w:p>
          <w:p w14:paraId="57912943" w14:textId="6D7D1258" w:rsidR="00DF48AD" w:rsidRPr="00F63BE2" w:rsidRDefault="00166E5F" w:rsidP="00EB592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DF48AD"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ywiad lekarski</w:t>
            </w:r>
            <w:r w:rsid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wraz z:</w:t>
            </w:r>
          </w:p>
          <w:p w14:paraId="76E8C0EF" w14:textId="54708817" w:rsidR="00DF48AD" w:rsidRPr="00F54536" w:rsidRDefault="00DF48AD" w:rsidP="00F5453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>ocen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 xml:space="preserve"> charakterystyki bólu (lokalizacja bólu, rodzaj bólu, stopień nasilenia bólu, czynniki nasilające ból)</w:t>
            </w:r>
            <w:r w:rsidR="00F5453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5A3E899B" w14:textId="34CB4B2C" w:rsidR="00DF48AD" w:rsidRPr="00F54536" w:rsidRDefault="00DF48AD" w:rsidP="00F5453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>identyfikacj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 xml:space="preserve"> czynników wywołujących lub nasilających ból (w tym dietetycznych)</w:t>
            </w:r>
            <w:r w:rsidR="00F5453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2C31F805" w14:textId="760FA8E1" w:rsidR="00DF48AD" w:rsidRPr="00F54536" w:rsidRDefault="00DF48AD" w:rsidP="00F5453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>występowanie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 xml:space="preserve"> objawów z dolnych dróg moczowych</w:t>
            </w:r>
            <w:r w:rsidR="00F5453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1404A333" w14:textId="51CEAE08" w:rsidR="00DF48AD" w:rsidRPr="00F54536" w:rsidRDefault="00DF48AD" w:rsidP="00F5453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>występowanie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 w:rsidRPr="00F54536">
              <w:rPr>
                <w:rFonts w:ascii="Times New Roman" w:eastAsia="Times New Roman" w:hAnsi="Times New Roman"/>
                <w:sz w:val="20"/>
                <w:szCs w:val="20"/>
              </w:rPr>
              <w:t xml:space="preserve"> objawów związanych z narządami miednicy mniejszej;</w:t>
            </w:r>
          </w:p>
          <w:p w14:paraId="10F584AB" w14:textId="166E4E37" w:rsidR="00DF48AD" w:rsidRPr="00F63BE2" w:rsidRDefault="00DF48AD" w:rsidP="00EB592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ocena nasilenia objawów według wskaźnika objawów śródmiąższowego zapalenia pęcherza moczowego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O’Leary-Sant</w:t>
            </w:r>
            <w:proofErr w:type="spellEnd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(kwestionariusz ICSI);</w:t>
            </w:r>
          </w:p>
          <w:p w14:paraId="35EF3CE2" w14:textId="77576603" w:rsidR="00DF48AD" w:rsidRPr="00F63BE2" w:rsidRDefault="00DF48AD" w:rsidP="00B82BD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fizykalne z badaniem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neurourologicznym</w:t>
            </w:r>
            <w:proofErr w:type="spellEnd"/>
            <w:r w:rsid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per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rectum</w:t>
            </w:r>
            <w:proofErr w:type="spellEnd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per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vaginam</w:t>
            </w:r>
            <w:proofErr w:type="spellEnd"/>
            <w:r w:rsid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5FF7CC0" w14:textId="784AA2E7" w:rsidR="00DF48AD" w:rsidRPr="00F63BE2" w:rsidRDefault="00DF48AD" w:rsidP="00B82BD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badanie ogólne i bakteriologiczne moczu;</w:t>
            </w:r>
          </w:p>
          <w:p w14:paraId="667067DD" w14:textId="18461BD6" w:rsidR="0038559F" w:rsidRDefault="00DF48AD" w:rsidP="00E6114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cystoskopowe</w:t>
            </w:r>
            <w:proofErr w:type="spellEnd"/>
            <w:r w:rsidR="00A25630"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i ocena anatomopatologiczn</w:t>
            </w:r>
            <w:r w:rsidR="00AD19EB"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(dopuszczalne jest badanie archiwalne nie starsze niż 12 miesięcy) i oceną wg ESSIC</w:t>
            </w:r>
            <w:r w:rsidR="00C229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AB39203" w14:textId="1349D32E" w:rsidR="00132EE1" w:rsidRPr="00F54536" w:rsidRDefault="00132EE1" w:rsidP="00F5453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3 -</w:t>
            </w:r>
            <w:r w:rsid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dniowy dzienniczek mikcji (ilość, objętość, czas mikcji</w:t>
            </w:r>
            <w:r w:rsidR="00233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(data, godzina)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, ilość i natężenie parć naglących z lub bez nietrzymania moczu, ilość</w:t>
            </w:r>
            <w:r w:rsidR="00EB5925"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przyjmowanych płynów)</w:t>
            </w:r>
            <w:r w:rsid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8559F"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- nie starszy niż 7 dni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72402FF" w14:textId="5ECE40FD" w:rsidR="00A61102" w:rsidRDefault="00132EE1" w:rsidP="00A6110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badania obrazowe zgodne z zaleceniami dla zespołu bolesnego</w:t>
            </w:r>
            <w:r w:rsid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pęcherza</w:t>
            </w:r>
            <w:r w:rsidR="00751857"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moczowego/śródmiąższowego zapalenia pęcherza moczowego (</w:t>
            </w:r>
            <w:r w:rsidR="00CC7C75">
              <w:rPr>
                <w:rFonts w:ascii="Times New Roman" w:eastAsia="Times New Roman" w:hAnsi="Times New Roman" w:cs="Times New Roman"/>
                <w:sz w:val="20"/>
                <w:szCs w:val="20"/>
              </w:rPr>
              <w:t>minimum</w:t>
            </w:r>
            <w:r w:rsidR="009729A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badanie ultrasonograficzne jamy brzusznej)</w:t>
            </w:r>
            <w:r w:rsidR="00A6110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49F07A2" w14:textId="08F0E6A7" w:rsidR="00132EE1" w:rsidRDefault="00A61102" w:rsidP="00F5453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konsultacja kar</w:t>
            </w:r>
            <w:r w:rsidR="00752739"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iologiczna w przypadku pacjentów przyjmujących</w:t>
            </w:r>
            <w:r w:rsidR="00233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przewlekle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leki przeciwzakrzepowe, pochodne heparyny, leki </w:t>
            </w:r>
            <w:proofErr w:type="spellStart"/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trombolityczne</w:t>
            </w:r>
            <w:proofErr w:type="spellEnd"/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przeciwpłytkowe, w tym kwas acetylosalicylowy</w:t>
            </w:r>
            <w:r w:rsidR="00F968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(ASA)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niesteroidowe leki przeciwzapalne</w:t>
            </w:r>
            <w:r w:rsidR="00233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(NLPZ)</w:t>
            </w:r>
            <w:r w:rsidR="00F968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233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(z </w:t>
            </w:r>
            <w:r w:rsidR="00CC7C75">
              <w:rPr>
                <w:rFonts w:ascii="Times New Roman" w:eastAsia="Times New Roman" w:hAnsi="Times New Roman" w:cs="Times New Roman"/>
                <w:sz w:val="20"/>
                <w:szCs w:val="20"/>
              </w:rPr>
              <w:t>wyłączeniem</w:t>
            </w:r>
            <w:r w:rsidR="00F968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stosowania </w:t>
            </w:r>
            <w:r w:rsidR="0023392D">
              <w:rPr>
                <w:rFonts w:ascii="Times New Roman" w:eastAsia="Times New Roman" w:hAnsi="Times New Roman" w:cs="Times New Roman"/>
                <w:sz w:val="20"/>
                <w:szCs w:val="20"/>
              </w:rPr>
              <w:t>ASA poniżej 100</w:t>
            </w:r>
            <w:r w:rsidR="006D22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3392D">
              <w:rPr>
                <w:rFonts w:ascii="Times New Roman" w:eastAsia="Times New Roman" w:hAnsi="Times New Roman" w:cs="Times New Roman"/>
                <w:sz w:val="20"/>
                <w:szCs w:val="20"/>
              </w:rPr>
              <w:t>mg oraz</w:t>
            </w:r>
            <w:r w:rsidR="00BA5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doraźnego stosowania</w:t>
            </w:r>
            <w:r w:rsidR="00233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NLPZ)</w:t>
            </w:r>
            <w:r w:rsidRPr="00F5453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DD5EE3E" w14:textId="77777777" w:rsidR="00F54536" w:rsidRPr="00F54536" w:rsidRDefault="00F54536" w:rsidP="00F54536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F0DDBF0" w14:textId="488E5D82" w:rsidR="00DF48AD" w:rsidRPr="00F54536" w:rsidRDefault="00E860E6" w:rsidP="00F54536">
            <w:pPr>
              <w:pStyle w:val="Akapitzlist"/>
              <w:numPr>
                <w:ilvl w:val="0"/>
                <w:numId w:val="31"/>
              </w:numPr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leczenia</w:t>
            </w:r>
          </w:p>
          <w:p w14:paraId="61BB7800" w14:textId="098F8B9A" w:rsidR="00DF48AD" w:rsidRPr="00F63BE2" w:rsidRDefault="00DF48AD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wywiad lekarski</w:t>
            </w:r>
            <w:r w:rsid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wraz z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FF794D4" w14:textId="7F33C472" w:rsidR="00DF48AD" w:rsidRPr="00F63BE2" w:rsidRDefault="00DF48AD" w:rsidP="00E860E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>ocen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 xml:space="preserve"> charakterystyki bólu (lokalizacja bólu, rodzaj bólu, stopień nasilenia bólu, czynniki nasilające ból)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08157A63" w14:textId="10A2957A" w:rsidR="00DF48AD" w:rsidRPr="00F63BE2" w:rsidRDefault="00DF48AD" w:rsidP="00E860E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>identyfikacj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 xml:space="preserve"> czynników wywołujących lub nasilających ból (w tym dietetycznych)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3B04D4B3" w14:textId="00F75123" w:rsidR="00DF48AD" w:rsidRPr="00F63BE2" w:rsidRDefault="00DF48AD" w:rsidP="00E860E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>występowanie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 xml:space="preserve"> objawów z dolnych dróg moczowych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43609B5D" w14:textId="7FC76896" w:rsidR="00DF48AD" w:rsidRPr="00F63BE2" w:rsidRDefault="00DF48AD" w:rsidP="00E860E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ind w:left="681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>występowanie</w:t>
            </w:r>
            <w:r w:rsidR="00E860E6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 w:rsidRPr="00F63BE2">
              <w:rPr>
                <w:rFonts w:ascii="Times New Roman" w:eastAsia="Times New Roman" w:hAnsi="Times New Roman"/>
                <w:sz w:val="20"/>
                <w:szCs w:val="20"/>
              </w:rPr>
              <w:t xml:space="preserve"> objawów związanych z narządami miednicy mniejszej;</w:t>
            </w:r>
          </w:p>
          <w:p w14:paraId="6C350B6F" w14:textId="6B112C98" w:rsidR="00DF48AD" w:rsidRPr="00F63BE2" w:rsidRDefault="00DF48AD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ocena nasilenia objawów według wskaźnika objawów śródmiąższowego zapalenia pęcherza moczowego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O’Leary</w:t>
            </w:r>
            <w:proofErr w:type="spellEnd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Sant</w:t>
            </w:r>
            <w:proofErr w:type="spellEnd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(kwestionariusz ICSI);</w:t>
            </w:r>
          </w:p>
          <w:p w14:paraId="4A049A8F" w14:textId="26B66998" w:rsidR="00DF48AD" w:rsidRPr="00F63BE2" w:rsidRDefault="00DF48AD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fizykalne z badaniem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neurourologicznym</w:t>
            </w:r>
            <w:proofErr w:type="spellEnd"/>
            <w:r w:rsid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per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rectum</w:t>
            </w:r>
            <w:proofErr w:type="spellEnd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per </w:t>
            </w:r>
            <w:proofErr w:type="spellStart"/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vaginam</w:t>
            </w:r>
            <w:proofErr w:type="spellEnd"/>
            <w:r w:rsid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DAA35E5" w14:textId="1CCD4AFE" w:rsidR="00DF48AD" w:rsidRPr="00F63BE2" w:rsidRDefault="00DF48AD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badanie ogólne i bakteriologiczne moczu;</w:t>
            </w:r>
          </w:p>
          <w:p w14:paraId="75E252C7" w14:textId="42E23DCA" w:rsidR="00DF48AD" w:rsidRPr="00F63BE2" w:rsidRDefault="00DF48AD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3 -</w:t>
            </w:r>
            <w:r w:rsid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dniowy dzienniczek mikcji (ilość, objętość, czas mikcji</w:t>
            </w:r>
            <w:r w:rsidR="00CC7C7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C7C75">
              <w:rPr>
                <w:rFonts w:ascii="Times New Roman" w:eastAsia="Times New Roman" w:hAnsi="Times New Roman" w:cs="Times New Roman"/>
                <w:sz w:val="20"/>
                <w:szCs w:val="20"/>
              </w:rPr>
              <w:t>data,godzina</w:t>
            </w:r>
            <w:proofErr w:type="spellEnd"/>
            <w:r w:rsidR="00CC7C7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ilość i natężenie parć naglących z lub 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bez nietrzymania  moczu, ilość przyjmowanych płynów)</w:t>
            </w:r>
            <w:r w:rsid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8559F">
              <w:rPr>
                <w:rFonts w:ascii="Times New Roman" w:eastAsia="Times New Roman" w:hAnsi="Times New Roman" w:cs="Times New Roman"/>
                <w:sz w:val="20"/>
                <w:szCs w:val="20"/>
              </w:rPr>
              <w:t>- nie starszy niż 7 dni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68E8C2A" w14:textId="29A011B0" w:rsidR="00DF48AD" w:rsidRDefault="00DF48AD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badania obrazowe zgodne z zaleceniami dla zespołu bolesnego</w:t>
            </w:r>
            <w:r w:rsid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pęcherza</w:t>
            </w:r>
            <w:r w:rsidR="0093186D"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>moczowego/śródmiąższowego zapalenia pęcherza moczowego (</w:t>
            </w:r>
            <w:r w:rsidR="00E97004">
              <w:rPr>
                <w:rFonts w:ascii="Times New Roman" w:eastAsia="Times New Roman" w:hAnsi="Times New Roman" w:cs="Times New Roman"/>
                <w:sz w:val="20"/>
                <w:szCs w:val="20"/>
              </w:rPr>
              <w:t>minimum</w:t>
            </w:r>
            <w:r w:rsidR="009729A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F63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badanie ultrasonograficzne jamy brzusznej)</w:t>
            </w:r>
            <w:r w:rsid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4CAB5E2" w14:textId="1B78D72C" w:rsidR="006D404E" w:rsidRPr="00E860E6" w:rsidRDefault="00E860E6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konsultacja okulistyczna</w:t>
            </w:r>
            <w:r w:rsidR="00132EE1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wraz z </w:t>
            </w:r>
            <w:r w:rsidR="006D404E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badani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ami</w:t>
            </w:r>
            <w:r w:rsidR="006D404E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okulistyczn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ymi</w:t>
            </w:r>
            <w:r w:rsidR="006D404E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celu wczesnego rozpoznania </w:t>
            </w:r>
            <w:proofErr w:type="spellStart"/>
            <w:r w:rsidR="006D404E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makulopatii</w:t>
            </w:r>
            <w:proofErr w:type="spellEnd"/>
            <w:r w:rsidR="006D404E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barwnikowej</w:t>
            </w:r>
            <w:r w:rsidR="00262C88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(badanie pola widzenia, dna oka, </w:t>
            </w:r>
            <w:proofErr w:type="spellStart"/>
            <w:r w:rsidR="00262C88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elektroretinogram</w:t>
            </w:r>
            <w:proofErr w:type="spellEnd"/>
            <w:r w:rsidR="00262C88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angiografi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262C88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62C88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fluoresceinow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262C88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03FB083" w14:textId="43597A31" w:rsidR="002B690B" w:rsidRDefault="002B690B" w:rsidP="00E860E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konsultacja </w:t>
            </w:r>
            <w:r w:rsid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kardiologiczna </w:t>
            </w:r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stosowania </w:t>
            </w:r>
            <w:proofErr w:type="spellStart"/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pentozanu</w:t>
            </w:r>
            <w:proofErr w:type="spellEnd"/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wielosiarczanu</w:t>
            </w:r>
            <w:proofErr w:type="spellEnd"/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sodowego z produktami leczniczymi wpływającymi na krzepnięcie krwi, takimi jak</w:t>
            </w:r>
            <w:r w:rsidR="00993998"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leki przeciwzakrzepowe, pochodne heparyny, leki </w:t>
            </w:r>
            <w:proofErr w:type="spellStart"/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>trombolityczne</w:t>
            </w:r>
            <w:proofErr w:type="spellEnd"/>
            <w:r w:rsidRPr="00E86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przeciwpłytkowe, w tym kwas acetylosalicylowy lub niesteroidowe leki przeciwzapalne</w:t>
            </w:r>
            <w:r w:rsid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do decyzji lekarza prowadzącego.</w:t>
            </w:r>
          </w:p>
          <w:p w14:paraId="3DF92C33" w14:textId="77777777" w:rsidR="00E860E6" w:rsidRPr="00E860E6" w:rsidRDefault="00E860E6" w:rsidP="00E860E6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1529FF0" w14:textId="695E61DE" w:rsidR="00286421" w:rsidRDefault="00286421" w:rsidP="00E860E6">
            <w:pPr>
              <w:pStyle w:val="Standard"/>
              <w:spacing w:after="60"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</w:t>
            </w:r>
            <w:r w:rsidRPr="00E860E6">
              <w:rPr>
                <w:color w:val="000000"/>
                <w:sz w:val="20"/>
                <w:szCs w:val="20"/>
                <w:lang w:eastAsia="en-US"/>
              </w:rPr>
              <w:t xml:space="preserve">ierwsze trzy </w:t>
            </w:r>
            <w:r>
              <w:rPr>
                <w:color w:val="000000"/>
                <w:sz w:val="20"/>
                <w:szCs w:val="20"/>
                <w:lang w:eastAsia="en-US"/>
              </w:rPr>
              <w:t>w</w:t>
            </w:r>
            <w:r w:rsidRPr="00E860E6">
              <w:rPr>
                <w:color w:val="000000"/>
                <w:sz w:val="20"/>
                <w:szCs w:val="20"/>
                <w:lang w:eastAsia="en-US"/>
              </w:rPr>
              <w:t xml:space="preserve">izyty kontrolne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wraz z oceną skuteczności leczenia </w:t>
            </w:r>
            <w:r w:rsidRPr="00E860E6">
              <w:rPr>
                <w:color w:val="000000"/>
                <w:sz w:val="20"/>
                <w:szCs w:val="20"/>
                <w:lang w:eastAsia="en-US"/>
              </w:rPr>
              <w:t>odbywają się co 4 tygodnie.</w:t>
            </w:r>
          </w:p>
          <w:p w14:paraId="1EE2B137" w14:textId="1A6A6EE4" w:rsidR="00DF48AD" w:rsidRPr="00E860E6" w:rsidRDefault="00286421" w:rsidP="00E860E6">
            <w:pPr>
              <w:pStyle w:val="Standard"/>
              <w:spacing w:after="60"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Następnie w</w:t>
            </w:r>
            <w:r w:rsidR="00DF48AD" w:rsidRPr="00E860E6">
              <w:rPr>
                <w:color w:val="000000"/>
                <w:sz w:val="20"/>
                <w:szCs w:val="20"/>
                <w:lang w:eastAsia="en-US"/>
              </w:rPr>
              <w:t xml:space="preserve">izyty kontrolne i </w:t>
            </w:r>
            <w:r>
              <w:rPr>
                <w:color w:val="000000"/>
                <w:sz w:val="20"/>
                <w:szCs w:val="20"/>
                <w:lang w:eastAsia="en-US"/>
              </w:rPr>
              <w:t>ocena skuteczności leczenia</w:t>
            </w:r>
            <w:r w:rsidR="00DF48AD" w:rsidRPr="00E860E6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odbywa się </w:t>
            </w:r>
            <w:r w:rsidR="00DF48AD" w:rsidRPr="00E860E6">
              <w:rPr>
                <w:color w:val="000000"/>
                <w:sz w:val="20"/>
                <w:szCs w:val="20"/>
                <w:lang w:eastAsia="en-US"/>
              </w:rPr>
              <w:t>co 3 miesiące (lub wcześniej, jeżeli istnieją wskazania)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7E22CCA7" w14:textId="6A256890" w:rsidR="00DF48AD" w:rsidRDefault="00286421" w:rsidP="00E860E6">
            <w:pPr>
              <w:pStyle w:val="Standard"/>
              <w:spacing w:after="60"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Konsultacja okulistyczna odbywa się </w:t>
            </w:r>
            <w:r w:rsidR="00DF48AD" w:rsidRPr="00E860E6">
              <w:rPr>
                <w:color w:val="000000"/>
                <w:sz w:val="20"/>
                <w:szCs w:val="20"/>
                <w:lang w:eastAsia="en-US"/>
              </w:rPr>
              <w:t xml:space="preserve">po 6 miesiącach stosowania </w:t>
            </w:r>
            <w:proofErr w:type="spellStart"/>
            <w:r w:rsidR="00DF48AD" w:rsidRPr="00E860E6">
              <w:rPr>
                <w:color w:val="000000"/>
                <w:sz w:val="20"/>
                <w:szCs w:val="20"/>
                <w:lang w:eastAsia="en-US"/>
              </w:rPr>
              <w:t>pentozanu</w:t>
            </w:r>
            <w:proofErr w:type="spellEnd"/>
            <w:r w:rsidR="00EF4097">
              <w:t xml:space="preserve"> </w:t>
            </w:r>
            <w:proofErr w:type="spellStart"/>
            <w:r w:rsidR="00EF4097" w:rsidRPr="00EF4097">
              <w:rPr>
                <w:color w:val="000000"/>
                <w:sz w:val="20"/>
                <w:szCs w:val="20"/>
                <w:lang w:eastAsia="en-US"/>
              </w:rPr>
              <w:t>wielosiarczanu</w:t>
            </w:r>
            <w:proofErr w:type="spellEnd"/>
            <w:r w:rsidR="00EF4097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F48AD" w:rsidRPr="00E860E6">
              <w:rPr>
                <w:color w:val="000000"/>
                <w:sz w:val="20"/>
                <w:szCs w:val="20"/>
                <w:lang w:eastAsia="en-US"/>
              </w:rPr>
              <w:t xml:space="preserve"> sodu</w:t>
            </w:r>
            <w:r>
              <w:rPr>
                <w:color w:val="000000"/>
                <w:sz w:val="20"/>
                <w:szCs w:val="20"/>
                <w:lang w:eastAsia="en-US"/>
              </w:rPr>
              <w:t>, a n</w:t>
            </w:r>
            <w:r w:rsidR="00681B10">
              <w:rPr>
                <w:color w:val="000000"/>
                <w:sz w:val="20"/>
                <w:szCs w:val="20"/>
                <w:lang w:eastAsia="en-US"/>
              </w:rPr>
              <w:t>a</w:t>
            </w:r>
            <w:r>
              <w:rPr>
                <w:color w:val="000000"/>
                <w:sz w:val="20"/>
                <w:szCs w:val="20"/>
                <w:lang w:eastAsia="en-US"/>
              </w:rPr>
              <w:t>stępnie</w:t>
            </w:r>
            <w:r w:rsidR="00DF48AD" w:rsidRPr="00E860E6">
              <w:rPr>
                <w:color w:val="000000"/>
                <w:sz w:val="20"/>
                <w:szCs w:val="20"/>
                <w:lang w:eastAsia="en-US"/>
              </w:rPr>
              <w:t xml:space="preserve"> kolejne wizyty co 12 miesięcy (lub wcześniej, jeżeli istnieją wskazania).</w:t>
            </w:r>
          </w:p>
          <w:p w14:paraId="6ED007EC" w14:textId="77777777" w:rsidR="00286421" w:rsidRPr="00E860E6" w:rsidRDefault="00286421" w:rsidP="00E860E6">
            <w:pPr>
              <w:pStyle w:val="Standard"/>
              <w:spacing w:after="6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14:paraId="46721001" w14:textId="6DAF5EC1" w:rsidR="00DF48AD" w:rsidRPr="00286421" w:rsidRDefault="00DF48AD" w:rsidP="00286421">
            <w:pPr>
              <w:pStyle w:val="Akapitzlist"/>
              <w:numPr>
                <w:ilvl w:val="0"/>
                <w:numId w:val="31"/>
              </w:numPr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421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programu</w:t>
            </w:r>
          </w:p>
          <w:p w14:paraId="34D4FEA8" w14:textId="58CB42EB" w:rsidR="00B82BD5" w:rsidRPr="00286421" w:rsidRDefault="00B82BD5" w:rsidP="0028642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421">
              <w:rPr>
                <w:rFonts w:ascii="Times New Roman" w:eastAsia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A3A521D" w14:textId="0AC2C034" w:rsidR="00B82BD5" w:rsidRPr="00286421" w:rsidRDefault="00B82BD5" w:rsidP="0028642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42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uzupełnienie danych zawartych w elektronicznym systemie monitorowania programów lekowych, dostępnym za pomocą aplikacji internetowej udostępnionej przez OW NFZ, z częstotliwością zgodną z opisem programu oraz na zakończenie leczenia, w tym przekazywanie danych dotyczących wskaźników skuteczności terapii</w:t>
            </w:r>
            <w:r w:rsid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:w tym między innymi </w:t>
            </w:r>
            <w:r w:rsidR="00681B10" w:rsidRP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liczba punktów według kwestionariusza śródmiąższowego zapalenia pęcherza moczowego </w:t>
            </w:r>
            <w:proofErr w:type="spellStart"/>
            <w:r w:rsidR="00681B10" w:rsidRP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>O’Leary-Sant</w:t>
            </w:r>
            <w:proofErr w:type="spellEnd"/>
            <w:r w:rsidR="00681B10" w:rsidRP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(kwestionariusz ICSI)</w:t>
            </w:r>
            <w:r w:rsidR="00681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liczba mikcji wg. dzienniczka pacjenta;</w:t>
            </w:r>
          </w:p>
          <w:p w14:paraId="1FAF8583" w14:textId="54C094AA" w:rsidR="00334F87" w:rsidRPr="00F63BE2" w:rsidRDefault="00B82BD5" w:rsidP="0028642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6421">
              <w:rPr>
                <w:rFonts w:ascii="Times New Roman" w:eastAsia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761E8CCE" w14:textId="77777777" w:rsidR="00407C5C" w:rsidRPr="004F5F51" w:rsidRDefault="00407C5C" w:rsidP="001D68BE">
      <w:pPr>
        <w:rPr>
          <w:rFonts w:ascii="Times New Roman" w:hAnsi="Times New Roman"/>
        </w:rPr>
      </w:pPr>
    </w:p>
    <w:sectPr w:rsidR="00407C5C" w:rsidRPr="004F5F51" w:rsidSect="002A7278">
      <w:footerReference w:type="even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6DF2F" w14:textId="77777777" w:rsidR="000A0A75" w:rsidRDefault="000A0A75">
      <w:pPr>
        <w:spacing w:after="0" w:line="240" w:lineRule="auto"/>
      </w:pPr>
      <w:r>
        <w:separator/>
      </w:r>
    </w:p>
  </w:endnote>
  <w:endnote w:type="continuationSeparator" w:id="0">
    <w:p w14:paraId="2A54D0C9" w14:textId="77777777" w:rsidR="000A0A75" w:rsidRDefault="000A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F935F" w14:textId="77777777" w:rsidR="00C634B5" w:rsidRDefault="00C634B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7859196" w14:textId="77777777" w:rsidR="00C634B5" w:rsidRDefault="00C634B5">
    <w:pPr>
      <w:pStyle w:val="Stopka"/>
    </w:pPr>
  </w:p>
  <w:p w14:paraId="7A2ED485" w14:textId="77777777" w:rsidR="00C634B5" w:rsidRDefault="00C634B5"/>
  <w:p w14:paraId="719BF8E3" w14:textId="77777777" w:rsidR="00C634B5" w:rsidRDefault="00C634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96B72" w14:textId="77777777" w:rsidR="000A0A75" w:rsidRDefault="000A0A75">
      <w:pPr>
        <w:spacing w:after="0" w:line="240" w:lineRule="auto"/>
      </w:pPr>
      <w:r>
        <w:separator/>
      </w:r>
    </w:p>
  </w:footnote>
  <w:footnote w:type="continuationSeparator" w:id="0">
    <w:p w14:paraId="502A03EB" w14:textId="77777777" w:rsidR="000A0A75" w:rsidRDefault="000A0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F75"/>
    <w:multiLevelType w:val="hybridMultilevel"/>
    <w:tmpl w:val="17A6B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A5B50"/>
    <w:multiLevelType w:val="hybridMultilevel"/>
    <w:tmpl w:val="CC1AA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95219"/>
    <w:multiLevelType w:val="hybridMultilevel"/>
    <w:tmpl w:val="63C4B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F7F5A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F172584"/>
    <w:multiLevelType w:val="hybridMultilevel"/>
    <w:tmpl w:val="8FF632F6"/>
    <w:lvl w:ilvl="0" w:tplc="35E030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71ED2"/>
    <w:multiLevelType w:val="hybridMultilevel"/>
    <w:tmpl w:val="188AC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403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CBD3593"/>
    <w:multiLevelType w:val="hybridMultilevel"/>
    <w:tmpl w:val="141E2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65983"/>
    <w:multiLevelType w:val="hybridMultilevel"/>
    <w:tmpl w:val="14E8647E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15608"/>
    <w:multiLevelType w:val="hybridMultilevel"/>
    <w:tmpl w:val="970AE560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E3069"/>
    <w:multiLevelType w:val="hybridMultilevel"/>
    <w:tmpl w:val="F7D67BA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C268A"/>
    <w:multiLevelType w:val="hybridMultilevel"/>
    <w:tmpl w:val="F7D67BA2"/>
    <w:lvl w:ilvl="0" w:tplc="4C56D4AC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C2575"/>
    <w:multiLevelType w:val="hybridMultilevel"/>
    <w:tmpl w:val="2A7EA3C6"/>
    <w:lvl w:ilvl="0" w:tplc="E696AA8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87953"/>
    <w:multiLevelType w:val="multilevel"/>
    <w:tmpl w:val="94D893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B44EC1"/>
    <w:multiLevelType w:val="hybridMultilevel"/>
    <w:tmpl w:val="970AE560"/>
    <w:lvl w:ilvl="0" w:tplc="41581F68">
      <w:start w:val="1"/>
      <w:numFmt w:val="decimal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12685"/>
    <w:multiLevelType w:val="hybridMultilevel"/>
    <w:tmpl w:val="A22A985A"/>
    <w:lvl w:ilvl="0" w:tplc="C94AC4C0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 w15:restartNumberingAfterBreak="0">
    <w:nsid w:val="3F0A17DD"/>
    <w:multiLevelType w:val="hybridMultilevel"/>
    <w:tmpl w:val="3D80B542"/>
    <w:lvl w:ilvl="0" w:tplc="B128EBE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7" w15:restartNumberingAfterBreak="0">
    <w:nsid w:val="41186A8A"/>
    <w:multiLevelType w:val="hybridMultilevel"/>
    <w:tmpl w:val="3F74B656"/>
    <w:lvl w:ilvl="0" w:tplc="189806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792B290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 w15:restartNumberingAfterBreak="0">
    <w:nsid w:val="45016FE6"/>
    <w:multiLevelType w:val="hybridMultilevel"/>
    <w:tmpl w:val="4CF0F5BC"/>
    <w:lvl w:ilvl="0" w:tplc="6DC0BFC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9" w15:restartNumberingAfterBreak="0">
    <w:nsid w:val="4692073A"/>
    <w:multiLevelType w:val="hybridMultilevel"/>
    <w:tmpl w:val="C99CE0EA"/>
    <w:lvl w:ilvl="0" w:tplc="8D80D110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5" w:hanging="360"/>
      </w:pPr>
    </w:lvl>
    <w:lvl w:ilvl="2" w:tplc="0415001B" w:tentative="1">
      <w:start w:val="1"/>
      <w:numFmt w:val="lowerRoman"/>
      <w:lvlText w:val="%3."/>
      <w:lvlJc w:val="right"/>
      <w:pPr>
        <w:ind w:left="2075" w:hanging="180"/>
      </w:pPr>
    </w:lvl>
    <w:lvl w:ilvl="3" w:tplc="0415000F" w:tentative="1">
      <w:start w:val="1"/>
      <w:numFmt w:val="decimal"/>
      <w:lvlText w:val="%4."/>
      <w:lvlJc w:val="left"/>
      <w:pPr>
        <w:ind w:left="2795" w:hanging="360"/>
      </w:pPr>
    </w:lvl>
    <w:lvl w:ilvl="4" w:tplc="04150019" w:tentative="1">
      <w:start w:val="1"/>
      <w:numFmt w:val="lowerLetter"/>
      <w:lvlText w:val="%5."/>
      <w:lvlJc w:val="left"/>
      <w:pPr>
        <w:ind w:left="3515" w:hanging="360"/>
      </w:pPr>
    </w:lvl>
    <w:lvl w:ilvl="5" w:tplc="0415001B" w:tentative="1">
      <w:start w:val="1"/>
      <w:numFmt w:val="lowerRoman"/>
      <w:lvlText w:val="%6."/>
      <w:lvlJc w:val="right"/>
      <w:pPr>
        <w:ind w:left="4235" w:hanging="180"/>
      </w:pPr>
    </w:lvl>
    <w:lvl w:ilvl="6" w:tplc="0415000F" w:tentative="1">
      <w:start w:val="1"/>
      <w:numFmt w:val="decimal"/>
      <w:lvlText w:val="%7."/>
      <w:lvlJc w:val="left"/>
      <w:pPr>
        <w:ind w:left="4955" w:hanging="360"/>
      </w:pPr>
    </w:lvl>
    <w:lvl w:ilvl="7" w:tplc="04150019" w:tentative="1">
      <w:start w:val="1"/>
      <w:numFmt w:val="lowerLetter"/>
      <w:lvlText w:val="%8."/>
      <w:lvlJc w:val="left"/>
      <w:pPr>
        <w:ind w:left="5675" w:hanging="360"/>
      </w:pPr>
    </w:lvl>
    <w:lvl w:ilvl="8" w:tplc="0415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0" w15:restartNumberingAfterBreak="0">
    <w:nsid w:val="474E49F5"/>
    <w:multiLevelType w:val="hybridMultilevel"/>
    <w:tmpl w:val="E02CB55E"/>
    <w:lvl w:ilvl="0" w:tplc="91D292DE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1" w15:restartNumberingAfterBreak="0">
    <w:nsid w:val="47D042C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82A28E7"/>
    <w:multiLevelType w:val="hybridMultilevel"/>
    <w:tmpl w:val="53149968"/>
    <w:lvl w:ilvl="0" w:tplc="6018EE30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4A376F97"/>
    <w:multiLevelType w:val="hybridMultilevel"/>
    <w:tmpl w:val="7406A06C"/>
    <w:lvl w:ilvl="0" w:tplc="5248EF5A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9344F"/>
    <w:multiLevelType w:val="hybridMultilevel"/>
    <w:tmpl w:val="5F56C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72E09"/>
    <w:multiLevelType w:val="hybridMultilevel"/>
    <w:tmpl w:val="E1CE5008"/>
    <w:lvl w:ilvl="0" w:tplc="FFFFFFFF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7" w:hanging="360"/>
      </w:p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6" w15:restartNumberingAfterBreak="0">
    <w:nsid w:val="4EF71935"/>
    <w:multiLevelType w:val="hybridMultilevel"/>
    <w:tmpl w:val="A4D4F854"/>
    <w:lvl w:ilvl="0" w:tplc="134A6830">
      <w:start w:val="1"/>
      <w:numFmt w:val="decimal"/>
      <w:suff w:val="space"/>
      <w:lvlText w:val="%1."/>
      <w:lvlJc w:val="left"/>
      <w:pPr>
        <w:ind w:left="587" w:hanging="58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CBE"/>
    <w:multiLevelType w:val="hybridMultilevel"/>
    <w:tmpl w:val="14E8647E"/>
    <w:lvl w:ilvl="0" w:tplc="02F824C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B2AF5"/>
    <w:multiLevelType w:val="hybridMultilevel"/>
    <w:tmpl w:val="AF62C038"/>
    <w:lvl w:ilvl="0" w:tplc="FDE4BF1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9" w15:restartNumberingAfterBreak="0">
    <w:nsid w:val="592949ED"/>
    <w:multiLevelType w:val="hybridMultilevel"/>
    <w:tmpl w:val="F7D67BA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00293"/>
    <w:multiLevelType w:val="hybridMultilevel"/>
    <w:tmpl w:val="274E3394"/>
    <w:lvl w:ilvl="0" w:tplc="7AF6AAE2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62273247"/>
    <w:multiLevelType w:val="hybridMultilevel"/>
    <w:tmpl w:val="2870B82C"/>
    <w:lvl w:ilvl="0" w:tplc="C0D09C60">
      <w:start w:val="1"/>
      <w:numFmt w:val="decimal"/>
      <w:lvlText w:val="%1."/>
      <w:lvlJc w:val="righ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6875122E"/>
    <w:multiLevelType w:val="hybridMultilevel"/>
    <w:tmpl w:val="0176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15CD1"/>
    <w:multiLevelType w:val="hybridMultilevel"/>
    <w:tmpl w:val="E1CE5008"/>
    <w:lvl w:ilvl="0" w:tplc="9CC0EBA4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4" w15:restartNumberingAfterBreak="0">
    <w:nsid w:val="6F7E159C"/>
    <w:multiLevelType w:val="hybridMultilevel"/>
    <w:tmpl w:val="D152B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05A30"/>
    <w:multiLevelType w:val="hybridMultilevel"/>
    <w:tmpl w:val="65469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562078">
    <w:abstractNumId w:val="21"/>
  </w:num>
  <w:num w:numId="2" w16cid:durableId="599529145">
    <w:abstractNumId w:val="3"/>
  </w:num>
  <w:num w:numId="3" w16cid:durableId="586621626">
    <w:abstractNumId w:val="6"/>
  </w:num>
  <w:num w:numId="4" w16cid:durableId="2066906339">
    <w:abstractNumId w:val="28"/>
  </w:num>
  <w:num w:numId="5" w16cid:durableId="664010981">
    <w:abstractNumId w:val="16"/>
  </w:num>
  <w:num w:numId="6" w16cid:durableId="1241987301">
    <w:abstractNumId w:val="17"/>
  </w:num>
  <w:num w:numId="7" w16cid:durableId="304622880">
    <w:abstractNumId w:val="15"/>
  </w:num>
  <w:num w:numId="8" w16cid:durableId="1726179271">
    <w:abstractNumId w:val="18"/>
  </w:num>
  <w:num w:numId="9" w16cid:durableId="2023974360">
    <w:abstractNumId w:val="19"/>
  </w:num>
  <w:num w:numId="10" w16cid:durableId="2114592597">
    <w:abstractNumId w:val="31"/>
  </w:num>
  <w:num w:numId="11" w16cid:durableId="781995841">
    <w:abstractNumId w:val="30"/>
  </w:num>
  <w:num w:numId="12" w16cid:durableId="783304214">
    <w:abstractNumId w:val="14"/>
  </w:num>
  <w:num w:numId="13" w16cid:durableId="508566436">
    <w:abstractNumId w:val="11"/>
  </w:num>
  <w:num w:numId="14" w16cid:durableId="686637185">
    <w:abstractNumId w:val="34"/>
  </w:num>
  <w:num w:numId="15" w16cid:durableId="1752072069">
    <w:abstractNumId w:val="7"/>
  </w:num>
  <w:num w:numId="16" w16cid:durableId="88356681">
    <w:abstractNumId w:val="1"/>
  </w:num>
  <w:num w:numId="17" w16cid:durableId="1111123228">
    <w:abstractNumId w:val="5"/>
  </w:num>
  <w:num w:numId="18" w16cid:durableId="2048211719">
    <w:abstractNumId w:val="2"/>
  </w:num>
  <w:num w:numId="19" w16cid:durableId="248000120">
    <w:abstractNumId w:val="35"/>
  </w:num>
  <w:num w:numId="20" w16cid:durableId="1411657902">
    <w:abstractNumId w:val="0"/>
  </w:num>
  <w:num w:numId="21" w16cid:durableId="1081175431">
    <w:abstractNumId w:val="24"/>
  </w:num>
  <w:num w:numId="22" w16cid:durableId="1052002848">
    <w:abstractNumId w:val="32"/>
  </w:num>
  <w:num w:numId="23" w16cid:durableId="1456369455">
    <w:abstractNumId w:val="23"/>
  </w:num>
  <w:num w:numId="24" w16cid:durableId="143352427">
    <w:abstractNumId w:val="13"/>
  </w:num>
  <w:num w:numId="25" w16cid:durableId="1489980231">
    <w:abstractNumId w:val="12"/>
  </w:num>
  <w:num w:numId="26" w16cid:durableId="925504163">
    <w:abstractNumId w:val="4"/>
  </w:num>
  <w:num w:numId="27" w16cid:durableId="735128257">
    <w:abstractNumId w:val="9"/>
  </w:num>
  <w:num w:numId="28" w16cid:durableId="236862859">
    <w:abstractNumId w:val="20"/>
  </w:num>
  <w:num w:numId="29" w16cid:durableId="1117404926">
    <w:abstractNumId w:val="26"/>
  </w:num>
  <w:num w:numId="30" w16cid:durableId="488983415">
    <w:abstractNumId w:val="27"/>
  </w:num>
  <w:num w:numId="31" w16cid:durableId="852189964">
    <w:abstractNumId w:val="8"/>
  </w:num>
  <w:num w:numId="32" w16cid:durableId="1581451373">
    <w:abstractNumId w:val="33"/>
  </w:num>
  <w:num w:numId="33" w16cid:durableId="1866937998">
    <w:abstractNumId w:val="22"/>
  </w:num>
  <w:num w:numId="34" w16cid:durableId="1947729967">
    <w:abstractNumId w:val="10"/>
  </w:num>
  <w:num w:numId="35" w16cid:durableId="1548251080">
    <w:abstractNumId w:val="25"/>
  </w:num>
  <w:num w:numId="36" w16cid:durableId="1340963865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ED4"/>
    <w:rsid w:val="00002A64"/>
    <w:rsid w:val="0003058D"/>
    <w:rsid w:val="000373F9"/>
    <w:rsid w:val="00047759"/>
    <w:rsid w:val="0005263A"/>
    <w:rsid w:val="00053B88"/>
    <w:rsid w:val="00065437"/>
    <w:rsid w:val="00067159"/>
    <w:rsid w:val="00080552"/>
    <w:rsid w:val="00080B29"/>
    <w:rsid w:val="00081ACD"/>
    <w:rsid w:val="00083EC9"/>
    <w:rsid w:val="0009276F"/>
    <w:rsid w:val="000A0A75"/>
    <w:rsid w:val="000A31FD"/>
    <w:rsid w:val="000A3767"/>
    <w:rsid w:val="000B083F"/>
    <w:rsid w:val="000D45C4"/>
    <w:rsid w:val="000E4E3E"/>
    <w:rsid w:val="000E5966"/>
    <w:rsid w:val="000F0C80"/>
    <w:rsid w:val="000F50EB"/>
    <w:rsid w:val="001040B3"/>
    <w:rsid w:val="00122CC6"/>
    <w:rsid w:val="00132EE1"/>
    <w:rsid w:val="00135B01"/>
    <w:rsid w:val="00137375"/>
    <w:rsid w:val="00140971"/>
    <w:rsid w:val="00166E5F"/>
    <w:rsid w:val="00174787"/>
    <w:rsid w:val="0018177A"/>
    <w:rsid w:val="001A3AEA"/>
    <w:rsid w:val="001A610A"/>
    <w:rsid w:val="001D68BE"/>
    <w:rsid w:val="001F699E"/>
    <w:rsid w:val="002120FA"/>
    <w:rsid w:val="00223874"/>
    <w:rsid w:val="00231FD9"/>
    <w:rsid w:val="0023392D"/>
    <w:rsid w:val="00242E65"/>
    <w:rsid w:val="00243BB6"/>
    <w:rsid w:val="00244274"/>
    <w:rsid w:val="00245097"/>
    <w:rsid w:val="00254D95"/>
    <w:rsid w:val="00260E0D"/>
    <w:rsid w:val="00262C88"/>
    <w:rsid w:val="00265530"/>
    <w:rsid w:val="00272FC6"/>
    <w:rsid w:val="00286421"/>
    <w:rsid w:val="002954D5"/>
    <w:rsid w:val="002A7278"/>
    <w:rsid w:val="002A72D9"/>
    <w:rsid w:val="002B0950"/>
    <w:rsid w:val="002B3F9C"/>
    <w:rsid w:val="002B690B"/>
    <w:rsid w:val="002D3F6F"/>
    <w:rsid w:val="00314FDD"/>
    <w:rsid w:val="00321FEA"/>
    <w:rsid w:val="003239A8"/>
    <w:rsid w:val="00324D60"/>
    <w:rsid w:val="0033113C"/>
    <w:rsid w:val="00334F87"/>
    <w:rsid w:val="00335595"/>
    <w:rsid w:val="0034025E"/>
    <w:rsid w:val="00354698"/>
    <w:rsid w:val="00355579"/>
    <w:rsid w:val="00356B84"/>
    <w:rsid w:val="00370DC8"/>
    <w:rsid w:val="00374705"/>
    <w:rsid w:val="0038559F"/>
    <w:rsid w:val="003873E3"/>
    <w:rsid w:val="003A2D70"/>
    <w:rsid w:val="003B55CD"/>
    <w:rsid w:val="003B73AF"/>
    <w:rsid w:val="003C0944"/>
    <w:rsid w:val="003C143A"/>
    <w:rsid w:val="003C5131"/>
    <w:rsid w:val="003C5B88"/>
    <w:rsid w:val="003D1601"/>
    <w:rsid w:val="003D30A6"/>
    <w:rsid w:val="003D3F6F"/>
    <w:rsid w:val="003D68F2"/>
    <w:rsid w:val="003E4CDC"/>
    <w:rsid w:val="003F2DD1"/>
    <w:rsid w:val="00407C5C"/>
    <w:rsid w:val="004312B1"/>
    <w:rsid w:val="00457DC7"/>
    <w:rsid w:val="004724EF"/>
    <w:rsid w:val="00475A55"/>
    <w:rsid w:val="004770B0"/>
    <w:rsid w:val="00485796"/>
    <w:rsid w:val="00491E98"/>
    <w:rsid w:val="004944D9"/>
    <w:rsid w:val="004979B6"/>
    <w:rsid w:val="004C03ED"/>
    <w:rsid w:val="004D517B"/>
    <w:rsid w:val="004F5F51"/>
    <w:rsid w:val="00505BE9"/>
    <w:rsid w:val="00505DF0"/>
    <w:rsid w:val="00506402"/>
    <w:rsid w:val="00513ECE"/>
    <w:rsid w:val="0051418A"/>
    <w:rsid w:val="005152B2"/>
    <w:rsid w:val="005218F4"/>
    <w:rsid w:val="00531046"/>
    <w:rsid w:val="00552D5D"/>
    <w:rsid w:val="00556968"/>
    <w:rsid w:val="00564FE8"/>
    <w:rsid w:val="00577A88"/>
    <w:rsid w:val="005968C8"/>
    <w:rsid w:val="005C0A64"/>
    <w:rsid w:val="005E0E3F"/>
    <w:rsid w:val="005E2FF4"/>
    <w:rsid w:val="005F0B13"/>
    <w:rsid w:val="005F34DF"/>
    <w:rsid w:val="00601669"/>
    <w:rsid w:val="00610C7C"/>
    <w:rsid w:val="0062447A"/>
    <w:rsid w:val="00631CAD"/>
    <w:rsid w:val="00632590"/>
    <w:rsid w:val="006361F6"/>
    <w:rsid w:val="0065316E"/>
    <w:rsid w:val="00660167"/>
    <w:rsid w:val="00662498"/>
    <w:rsid w:val="00662B10"/>
    <w:rsid w:val="00677C0B"/>
    <w:rsid w:val="00681B10"/>
    <w:rsid w:val="00683B4E"/>
    <w:rsid w:val="00684EE1"/>
    <w:rsid w:val="00697036"/>
    <w:rsid w:val="006B2F2E"/>
    <w:rsid w:val="006B5045"/>
    <w:rsid w:val="006C0673"/>
    <w:rsid w:val="006C7169"/>
    <w:rsid w:val="006D229F"/>
    <w:rsid w:val="006D404E"/>
    <w:rsid w:val="007231ED"/>
    <w:rsid w:val="00741317"/>
    <w:rsid w:val="00742C79"/>
    <w:rsid w:val="00750BFA"/>
    <w:rsid w:val="00751857"/>
    <w:rsid w:val="00752739"/>
    <w:rsid w:val="0076228C"/>
    <w:rsid w:val="00763438"/>
    <w:rsid w:val="00792236"/>
    <w:rsid w:val="007B570E"/>
    <w:rsid w:val="007C2E70"/>
    <w:rsid w:val="007C665B"/>
    <w:rsid w:val="007D0BB1"/>
    <w:rsid w:val="007D523B"/>
    <w:rsid w:val="007E29B6"/>
    <w:rsid w:val="007F1C61"/>
    <w:rsid w:val="00801B60"/>
    <w:rsid w:val="00806BE1"/>
    <w:rsid w:val="00815023"/>
    <w:rsid w:val="0082418D"/>
    <w:rsid w:val="0084382E"/>
    <w:rsid w:val="0084586F"/>
    <w:rsid w:val="00852909"/>
    <w:rsid w:val="00853A7E"/>
    <w:rsid w:val="008805D1"/>
    <w:rsid w:val="00890977"/>
    <w:rsid w:val="008A67A0"/>
    <w:rsid w:val="008A67AA"/>
    <w:rsid w:val="008B0097"/>
    <w:rsid w:val="008B593A"/>
    <w:rsid w:val="008C17AA"/>
    <w:rsid w:val="008D78B7"/>
    <w:rsid w:val="008E7CA8"/>
    <w:rsid w:val="008F438A"/>
    <w:rsid w:val="009050C0"/>
    <w:rsid w:val="00906D92"/>
    <w:rsid w:val="00913DC5"/>
    <w:rsid w:val="00931691"/>
    <w:rsid w:val="0093186D"/>
    <w:rsid w:val="00935997"/>
    <w:rsid w:val="009729AF"/>
    <w:rsid w:val="00972C11"/>
    <w:rsid w:val="00993998"/>
    <w:rsid w:val="009A13D2"/>
    <w:rsid w:val="009A72B7"/>
    <w:rsid w:val="009B2B9E"/>
    <w:rsid w:val="009C20E5"/>
    <w:rsid w:val="009C382F"/>
    <w:rsid w:val="009D0798"/>
    <w:rsid w:val="009D26AA"/>
    <w:rsid w:val="009D674F"/>
    <w:rsid w:val="00A1609E"/>
    <w:rsid w:val="00A25630"/>
    <w:rsid w:val="00A27AA1"/>
    <w:rsid w:val="00A30C75"/>
    <w:rsid w:val="00A332E4"/>
    <w:rsid w:val="00A403C2"/>
    <w:rsid w:val="00A54FA1"/>
    <w:rsid w:val="00A60B9F"/>
    <w:rsid w:val="00A61102"/>
    <w:rsid w:val="00A652B4"/>
    <w:rsid w:val="00A81C3F"/>
    <w:rsid w:val="00A84662"/>
    <w:rsid w:val="00AB106D"/>
    <w:rsid w:val="00AB3B8F"/>
    <w:rsid w:val="00AD19EB"/>
    <w:rsid w:val="00AD5B84"/>
    <w:rsid w:val="00B06278"/>
    <w:rsid w:val="00B0757C"/>
    <w:rsid w:val="00B31266"/>
    <w:rsid w:val="00B31512"/>
    <w:rsid w:val="00B3523B"/>
    <w:rsid w:val="00B42C8E"/>
    <w:rsid w:val="00B450F0"/>
    <w:rsid w:val="00B61B57"/>
    <w:rsid w:val="00B64EC3"/>
    <w:rsid w:val="00B82BD5"/>
    <w:rsid w:val="00B82DE8"/>
    <w:rsid w:val="00B93E10"/>
    <w:rsid w:val="00BA56C9"/>
    <w:rsid w:val="00BB26A4"/>
    <w:rsid w:val="00BB5BD7"/>
    <w:rsid w:val="00BC1339"/>
    <w:rsid w:val="00BE7C3A"/>
    <w:rsid w:val="00C0547C"/>
    <w:rsid w:val="00C107F3"/>
    <w:rsid w:val="00C1110A"/>
    <w:rsid w:val="00C13ACF"/>
    <w:rsid w:val="00C20DC6"/>
    <w:rsid w:val="00C229BB"/>
    <w:rsid w:val="00C361C8"/>
    <w:rsid w:val="00C57DE3"/>
    <w:rsid w:val="00C61576"/>
    <w:rsid w:val="00C634B5"/>
    <w:rsid w:val="00C63BAF"/>
    <w:rsid w:val="00C94ED8"/>
    <w:rsid w:val="00CC39F4"/>
    <w:rsid w:val="00CC7C75"/>
    <w:rsid w:val="00CD3638"/>
    <w:rsid w:val="00CD3F47"/>
    <w:rsid w:val="00CE14CC"/>
    <w:rsid w:val="00CE47A7"/>
    <w:rsid w:val="00CF531A"/>
    <w:rsid w:val="00D05260"/>
    <w:rsid w:val="00D11F99"/>
    <w:rsid w:val="00D179FF"/>
    <w:rsid w:val="00D344E1"/>
    <w:rsid w:val="00D472E7"/>
    <w:rsid w:val="00D47779"/>
    <w:rsid w:val="00D54E59"/>
    <w:rsid w:val="00D63D6E"/>
    <w:rsid w:val="00D776C0"/>
    <w:rsid w:val="00D8173B"/>
    <w:rsid w:val="00D82907"/>
    <w:rsid w:val="00D86BCE"/>
    <w:rsid w:val="00DA2BAD"/>
    <w:rsid w:val="00DB4E6C"/>
    <w:rsid w:val="00DC277D"/>
    <w:rsid w:val="00DC2938"/>
    <w:rsid w:val="00DC2A03"/>
    <w:rsid w:val="00DE506B"/>
    <w:rsid w:val="00DF2147"/>
    <w:rsid w:val="00DF48AD"/>
    <w:rsid w:val="00E14C82"/>
    <w:rsid w:val="00E24ED4"/>
    <w:rsid w:val="00E47647"/>
    <w:rsid w:val="00E55AD1"/>
    <w:rsid w:val="00E61148"/>
    <w:rsid w:val="00E62B83"/>
    <w:rsid w:val="00E74BE9"/>
    <w:rsid w:val="00E7761E"/>
    <w:rsid w:val="00E860E6"/>
    <w:rsid w:val="00E97004"/>
    <w:rsid w:val="00E97EA4"/>
    <w:rsid w:val="00EA600B"/>
    <w:rsid w:val="00EB1B5D"/>
    <w:rsid w:val="00EB5925"/>
    <w:rsid w:val="00EC2146"/>
    <w:rsid w:val="00ED69EC"/>
    <w:rsid w:val="00EE5BAF"/>
    <w:rsid w:val="00EF4097"/>
    <w:rsid w:val="00F0204F"/>
    <w:rsid w:val="00F06A7A"/>
    <w:rsid w:val="00F15665"/>
    <w:rsid w:val="00F31E72"/>
    <w:rsid w:val="00F366C8"/>
    <w:rsid w:val="00F45164"/>
    <w:rsid w:val="00F4794A"/>
    <w:rsid w:val="00F54536"/>
    <w:rsid w:val="00F5476A"/>
    <w:rsid w:val="00F5685D"/>
    <w:rsid w:val="00F61B2D"/>
    <w:rsid w:val="00F63BE2"/>
    <w:rsid w:val="00F71A1E"/>
    <w:rsid w:val="00F75A1E"/>
    <w:rsid w:val="00F77F30"/>
    <w:rsid w:val="00F81406"/>
    <w:rsid w:val="00F96843"/>
    <w:rsid w:val="00FA1A58"/>
    <w:rsid w:val="00FA742A"/>
    <w:rsid w:val="00FD532D"/>
    <w:rsid w:val="00FE26C2"/>
    <w:rsid w:val="00FE651D"/>
    <w:rsid w:val="00FF1907"/>
    <w:rsid w:val="00FF4438"/>
    <w:rsid w:val="00FF6943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6BC89"/>
  <w15:chartTrackingRefBased/>
  <w15:docId w15:val="{D437C997-A707-41A9-9680-38848875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D45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45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D45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5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45C4"/>
    <w:rPr>
      <w:b/>
      <w:bCs/>
      <w:lang w:eastAsia="en-US"/>
    </w:rPr>
  </w:style>
  <w:style w:type="character" w:customStyle="1" w:styleId="Nagwek1">
    <w:name w:val="Nagłówek #1_"/>
    <w:basedOn w:val="Domylnaczcionkaakapitu"/>
    <w:link w:val="Nagwek10"/>
    <w:rsid w:val="00491E9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Teksttreci">
    <w:name w:val="Tekst treści_"/>
    <w:basedOn w:val="Domylnaczcionkaakapitu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0">
    <w:name w:val="Tekst treści"/>
    <w:basedOn w:val="Teksttreci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rsid w:val="00491E98"/>
    <w:pPr>
      <w:widowControl w:val="0"/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customStyle="1" w:styleId="Nagwek2">
    <w:name w:val="Nagłówek #2_"/>
    <w:basedOn w:val="Domylnaczcionkaakapitu"/>
    <w:link w:val="Nagwek20"/>
    <w:rsid w:val="00491E9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91E98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91E98"/>
    <w:pPr>
      <w:widowControl w:val="0"/>
      <w:shd w:val="clear" w:color="auto" w:fill="FFFFFF"/>
      <w:spacing w:after="0" w:line="264" w:lineRule="exact"/>
      <w:outlineLvl w:val="1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491E98"/>
    <w:pPr>
      <w:widowControl w:val="0"/>
      <w:shd w:val="clear" w:color="auto" w:fill="FFFFFF"/>
      <w:spacing w:after="60" w:line="259" w:lineRule="exact"/>
    </w:pPr>
    <w:rPr>
      <w:rFonts w:ascii="Times New Roman" w:eastAsia="Times New Roman" w:hAnsi="Times New Roman"/>
      <w:i/>
      <w:iCs/>
      <w:sz w:val="19"/>
      <w:szCs w:val="19"/>
      <w:lang w:eastAsia="pl-PL"/>
    </w:rPr>
  </w:style>
  <w:style w:type="character" w:customStyle="1" w:styleId="TeksttreciPogrubienie">
    <w:name w:val="Tekst treści + Pogrubienie"/>
    <w:basedOn w:val="Teksttreci"/>
    <w:rsid w:val="00491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55AD1"/>
    <w:rPr>
      <w:rFonts w:eastAsia="SimSun" w:cs="Calibri"/>
      <w:kern w:val="1"/>
      <w:sz w:val="22"/>
      <w:szCs w:val="22"/>
      <w:lang w:eastAsia="ar-SA"/>
    </w:rPr>
  </w:style>
  <w:style w:type="paragraph" w:customStyle="1" w:styleId="Text">
    <w:name w:val="Text"/>
    <w:basedOn w:val="Normalny"/>
    <w:link w:val="TextChar"/>
    <w:rsid w:val="00E55AD1"/>
    <w:pPr>
      <w:spacing w:before="120" w:after="0" w:line="240" w:lineRule="auto"/>
      <w:jc w:val="both"/>
    </w:pPr>
    <w:rPr>
      <w:rFonts w:ascii="Times New Roman" w:eastAsia="MS Mincho" w:hAnsi="Times New Roman"/>
      <w:sz w:val="24"/>
      <w:szCs w:val="20"/>
    </w:rPr>
  </w:style>
  <w:style w:type="character" w:customStyle="1" w:styleId="TextChar">
    <w:name w:val="Text Char"/>
    <w:link w:val="Text"/>
    <w:rsid w:val="00E55AD1"/>
    <w:rPr>
      <w:rFonts w:ascii="Times New Roman" w:eastAsia="MS Mincho" w:hAnsi="Times New Roman"/>
      <w:sz w:val="24"/>
      <w:lang w:eastAsia="en-US"/>
    </w:rPr>
  </w:style>
  <w:style w:type="paragraph" w:styleId="Poprawka">
    <w:name w:val="Revision"/>
    <w:hidden/>
    <w:uiPriority w:val="99"/>
    <w:semiHidden/>
    <w:rsid w:val="008241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5FA9-8405-4DBA-8D90-AE4C9D7E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1338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Rybińska Barbara</dc:creator>
  <cp:keywords/>
  <cp:lastModifiedBy>Wilk Justyna</cp:lastModifiedBy>
  <cp:revision>5</cp:revision>
  <cp:lastPrinted>2017-05-19T09:23:00Z</cp:lastPrinted>
  <dcterms:created xsi:type="dcterms:W3CDTF">2025-12-11T13:52:00Z</dcterms:created>
  <dcterms:modified xsi:type="dcterms:W3CDTF">2025-12-12T12:02:00Z</dcterms:modified>
</cp:coreProperties>
</file>